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3811" w14:textId="550FB5A4" w:rsidR="009730B9" w:rsidRPr="00A90CFC" w:rsidRDefault="00A90CFC" w:rsidP="00A90CFC">
      <w:pPr>
        <w:ind w:firstLineChars="1400" w:firstLine="3920"/>
        <w:rPr>
          <w:rFonts w:ascii="Microsoft YaHei UI" w:eastAsia="Microsoft YaHei UI" w:hAnsi="Microsoft YaHei UI"/>
          <w:sz w:val="28"/>
          <w:szCs w:val="28"/>
          <w:lang w:eastAsia="zh-TW"/>
        </w:rPr>
      </w:pPr>
      <w:r w:rsidRPr="00A90CFC">
        <w:rPr>
          <w:rFonts w:ascii="Microsoft YaHei UI" w:eastAsia="Microsoft YaHei UI" w:hAnsi="Microsoft YaHei UI" w:hint="eastAsia"/>
          <w:sz w:val="28"/>
          <w:szCs w:val="28"/>
          <w:lang w:eastAsia="zh-TW"/>
        </w:rPr>
        <w:t xml:space="preserve">啓示錄簡介 </w:t>
      </w:r>
    </w:p>
    <w:p w14:paraId="7191DF49" w14:textId="042FD65B"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“那些輕率閱讀聖經的人，容易被無數的晦澀與歧義所誤導，徹底誤解其中含義；在某些地方，他們甚至連錯誤的意思都猜不到，因為有些段落彷彿被濃霧包裹，密不透光。毫無疑問，這都是出於神的</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，為的是通過艱苦的勞作破除</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，並防止智力因輕鬆領悟而陷入厭倦，因為人很容易對過於容易的事物失去</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。”---奧古斯丁</w:t>
      </w:r>
    </w:p>
    <w:p w14:paraId="1EA238DC" w14:textId="506C209E"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《啓示錄》是加爾文唯一</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寫注釋的《新約》書卷。</w:t>
      </w:r>
    </w:p>
    <w:p w14:paraId="3F84D752" w14:textId="66452BAB" w:rsidR="00A90CFC" w:rsidRDefault="00A90CFC" w:rsidP="009730B9">
      <w:pPr>
        <w:rPr>
          <w:rFonts w:ascii="Microsoft YaHei UI" w:eastAsia="Microsoft YaHei UI" w:hAnsi="Microsoft YaHei UI"/>
          <w:sz w:val="24"/>
          <w:lang w:eastAsia="zh-TW"/>
        </w:rPr>
      </w:pPr>
      <w:r w:rsidRPr="00A90CFC">
        <w:rPr>
          <w:rFonts w:ascii="Microsoft YaHei UI" w:eastAsia="Microsoft YaHei UI" w:hAnsi="Microsoft YaHei UI" w:hint="eastAsia"/>
          <w:b/>
          <w:bCs/>
          <w:sz w:val="24"/>
          <w:lang w:eastAsia="zh-TW"/>
        </w:rPr>
        <w:t>1.</w:t>
      </w:r>
      <w:r w:rsidRPr="00A90CFC">
        <w:rPr>
          <w:rFonts w:ascii="Microsoft YaHei UI" w:eastAsia="Microsoft YaHei UI" w:hAnsi="Microsoft YaHei UI" w:hint="eastAsia"/>
          <w:b/>
          <w:bCs/>
          <w:sz w:val="24"/>
          <w:lang w:eastAsia="zh-TW"/>
        </w:rPr>
        <w:tab/>
        <w:t>作者</w:t>
      </w:r>
      <w:r>
        <w:rPr>
          <w:rFonts w:ascii="Microsoft YaHei UI" w:eastAsia="Microsoft YaHei UI" w:hAnsi="Microsoft YaHei UI" w:hint="eastAsia"/>
          <w:sz w:val="24"/>
          <w:lang w:eastAsia="zh-TW"/>
        </w:rPr>
        <w:t>：使徒約翰</w:t>
      </w:r>
    </w:p>
    <w:p w14:paraId="24F7EFF3" w14:textId="4D1104CF"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w:t>
      </w:r>
      <w:r>
        <w:rPr>
          <w:rFonts w:ascii="Microsoft YaHei UI" w:eastAsia="Microsoft YaHei UI" w:hAnsi="Microsoft YaHei UI" w:hint="eastAsia"/>
          <w:sz w:val="24"/>
          <w:lang w:eastAsia="zh-TW"/>
        </w:rPr>
        <w:tab/>
        <w:t>現今大多數學者都</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使徒約翰是《啓示錄》的作者。他們認為作者是一個不知名的約翰，一位重要的先知，因為他的風格、末世論和基督論都與《約翰福音》不同；但不同的寫作風格（如語法、詞彙等）是因為《啓示錄》和《約翰福音》是不同的</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4AD30CBA" w14:textId="1D9C0EE5"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w:t>
      </w:r>
      <w:r>
        <w:rPr>
          <w:rFonts w:ascii="Microsoft YaHei UI" w:eastAsia="Microsoft YaHei UI" w:hAnsi="Microsoft YaHei UI" w:hint="eastAsia"/>
          <w:sz w:val="24"/>
          <w:lang w:eastAsia="zh-TW"/>
        </w:rPr>
        <w:tab/>
        <w:t>《福音書》與《啓示錄》之間存在一些相當引人注目的共同點。在這兩卷書中，耶穌都被稱為 “神的道”（約1:1,14；啓19:13），“神的羔羊”（約1:29,36；啓5:6；19:7,9；21:9），和 “人子”（約1:51；3:13,14；啓示1:12-16；14:14）。此外，這兩卷書都教導耶穌透過他的死為所有人贖罪，以及信徒應當為他</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5D98E4D3" w14:textId="4D8F6D02"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3）早期教會歷史中的大多數作者都相信使徒約翰寫了這卷書，其中包括殉道者尤斯丁和</w:t>
      </w:r>
      <w:r w:rsidRPr="00A90CFC">
        <w:rPr>
          <w:rFonts w:ascii="Microsoft YaHei UI" w:eastAsia="Microsoft YaHei UI" w:hAnsi="Microsoft YaHei UI" w:hint="eastAsia"/>
          <w:sz w:val="24"/>
          <w:u w:val="thick"/>
          <w:lang w:eastAsia="zh-TW"/>
        </w:rPr>
        <w:t xml:space="preserve">       </w:t>
      </w:r>
    </w:p>
    <w:p w14:paraId="0232265B" w14:textId="58F6220F" w:rsidR="00A90CFC" w:rsidRDefault="00A90CFC" w:rsidP="009730B9">
      <w:pPr>
        <w:rPr>
          <w:rFonts w:ascii="Microsoft YaHei UI" w:eastAsia="Microsoft YaHei UI" w:hAnsi="Microsoft YaHei UI"/>
          <w:sz w:val="24"/>
          <w:lang w:eastAsia="zh-TW"/>
        </w:rPr>
      </w:pPr>
      <w:r w:rsidRPr="00A90CFC">
        <w:rPr>
          <w:rFonts w:ascii="Microsoft YaHei UI" w:eastAsia="Microsoft YaHei UI" w:hAnsi="Microsoft YaHei UI" w:hint="eastAsia"/>
          <w:b/>
          <w:bCs/>
          <w:sz w:val="24"/>
          <w:lang w:eastAsia="zh-TW"/>
        </w:rPr>
        <w:t>2. 寫作日期：</w:t>
      </w:r>
      <w:r>
        <w:rPr>
          <w:rFonts w:ascii="Microsoft YaHei UI" w:eastAsia="Microsoft YaHei UI" w:hAnsi="Microsoft YaHei UI" w:hint="eastAsia"/>
          <w:sz w:val="24"/>
          <w:lang w:eastAsia="zh-TW"/>
        </w:rPr>
        <w:t>主後85至95年之間，正值羅馬皇帝</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在位期間（主後81–96年）。</w:t>
      </w:r>
    </w:p>
    <w:p w14:paraId="2033D20E" w14:textId="7F0E1BF4"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愛任紐（Irenaeus）在公元二世紀末說：“因此我們不會冒險對敵基督的名字作出任何肯定的聲明。因為若有必要在當下明確宣佈他的名字，那位看見啓示的人就會已經說出來了；因為這啓示</w:t>
      </w:r>
      <w:r>
        <w:rPr>
          <w:rFonts w:ascii="Microsoft YaHei UI" w:eastAsia="Microsoft YaHei UI" w:hAnsi="Microsoft YaHei UI" w:hint="eastAsia"/>
          <w:sz w:val="24"/>
          <w:lang w:eastAsia="zh-TW"/>
        </w:rPr>
        <w:lastRenderedPageBreak/>
        <w:t>並不是很久以前所見，而是在我們這世代、</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統治晚期才看到的。”</w:t>
      </w:r>
    </w:p>
    <w:p w14:paraId="27CA5C11" w14:textId="193ABB04"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愛任紐認識坡旅甲（Polycarp），坡旅甲認識</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；因此柯林斯（A. Collins）說，“愛任紐之所以說約翰在</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晚期才寫作，是因為他擁有獨立且有力的證據。”</w:t>
      </w:r>
    </w:p>
    <w:p w14:paraId="189B6995" w14:textId="1D2E476E"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維克多利努斯（Victorinus，約主後304年去世）也說：“當約翰看到這啓示時，他正在拔摩島，被</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皇帝判到礦場服勞役；在那裡他寫下了《啓示錄》。當時他年事已高，以為自己將要被接入榮耀。但</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死後，其一切法令被廢，約翰得以釋放，並傳播他從主那裡所得的啓示。”</w:t>
      </w:r>
    </w:p>
    <w:p w14:paraId="5B21166E" w14:textId="1F665B38" w:rsidR="00A90CFC" w:rsidRPr="00A90CFC" w:rsidRDefault="00A90CFC" w:rsidP="009730B9">
      <w:pPr>
        <w:rPr>
          <w:rFonts w:ascii="Microsoft YaHei UI" w:eastAsia="Microsoft YaHei UI" w:hAnsi="Microsoft YaHei UI"/>
          <w:b/>
          <w:bCs/>
          <w:sz w:val="24"/>
          <w:lang w:eastAsia="zh-TW"/>
        </w:rPr>
      </w:pPr>
      <w:r w:rsidRPr="00A90CFC">
        <w:rPr>
          <w:rFonts w:ascii="Microsoft YaHei UI" w:eastAsia="Microsoft YaHei UI" w:hAnsi="Microsoft YaHei UI" w:hint="eastAsia"/>
          <w:b/>
          <w:bCs/>
          <w:sz w:val="24"/>
          <w:lang w:eastAsia="zh-TW"/>
        </w:rPr>
        <w:t>3.</w:t>
      </w:r>
      <w:r w:rsidRPr="00A90CFC">
        <w:rPr>
          <w:rFonts w:ascii="Microsoft YaHei UI" w:eastAsia="Microsoft YaHei UI" w:hAnsi="Microsoft YaHei UI" w:hint="eastAsia"/>
          <w:b/>
          <w:bCs/>
          <w:sz w:val="24"/>
          <w:lang w:eastAsia="zh-TW"/>
        </w:rPr>
        <w:tab/>
        <w:t>教會的處境</w:t>
      </w:r>
    </w:p>
    <w:p w14:paraId="3538A502" w14:textId="591F0AAD"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1）外來的逼迫</w:t>
      </w:r>
    </w:p>
    <w:p w14:paraId="1683F588" w14:textId="5F6F168E"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教會被羅馬帝國和地方政府逼迫。在</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統治下，</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的迫害事件威脅著信徒：約翰因信仰被流放到拔摩島，安提帕為信仰殉道（2:13），士每拿教會則遭遇了經濟上的逼迫和死亡威脅（2:9-10）。多數人雖未被殺，也可能生活在恐懼中。皇帝</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是公元一世紀亞洲社會的重要組成部分；對宙斯、阿波羅、和雅典娜等神明的崇拜和奉獻也很普遍。異教徒反對基督徒，因為他們拒絕皇帝</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等於完全否定正常的希臘-羅馬</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，因此他們視基督徒為對社會的威脅和違法者。</w:t>
      </w:r>
    </w:p>
    <w:p w14:paraId="654C4E55" w14:textId="18F9ABC3"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教會也被猶太人逼迫。羅馬帝國視猶太教為</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宗教，並在公元70年前將基督教被視為猶太教的一個</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；但公元70年以後，猶太教正式與基督教劃清界限，部分是因為基督徒宣稱耶路撒冷毀滅是因猶太人釘死耶穌而受的審判。另外，基督教吸引了大量</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的外邦人相信耶穌，也加劇了猶太人對教會的敵意（2:9，3:9），因此猶太人可能聲稱基督徒威脅社會</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，或</w:t>
      </w:r>
      <w:r>
        <w:rPr>
          <w:rFonts w:ascii="Microsoft YaHei UI" w:eastAsia="Microsoft YaHei UI" w:hAnsi="Microsoft YaHei UI" w:hint="eastAsia"/>
          <w:sz w:val="24"/>
          <w:lang w:eastAsia="zh-TW"/>
        </w:rPr>
        <w:lastRenderedPageBreak/>
        <w:t>把基督徒</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給執政當局（徒13:50；14:5）</w:t>
      </w:r>
    </w:p>
    <w:p w14:paraId="18798964" w14:textId="09988CB6"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w:t>
      </w:r>
      <w:r>
        <w:rPr>
          <w:rFonts w:ascii="Microsoft YaHei UI" w:eastAsia="Microsoft YaHei UI" w:hAnsi="Microsoft YaHei UI" w:hint="eastAsia"/>
          <w:sz w:val="24"/>
          <w:lang w:eastAsia="zh-TW"/>
        </w:rPr>
        <w:tab/>
        <w:t>內部的妥協</w:t>
      </w:r>
    </w:p>
    <w:p w14:paraId="02344BBE" w14:textId="2B4A644F"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有些外邦基督徒仍然吃祭偶像之物；有些信徒並不認為向行業公會的</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表示敬意是一種嚴重的罪，尤其在他們被要求參加一年一度為</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舉行的宴會時。拒絕參與的基督徒會被同事和社會的疏遠，被看作是壞公民；這種妥協出現在別迦摩和推雅推喇。假使徒（2:4）、尼哥拉黨（2:6,15）、以及巴蘭（2:14）和耶洗別（2:20-23）也教導信徒向</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1EB8D5E0" w14:textId="33F1B9EF" w:rsidR="00A90CFC" w:rsidRDefault="00A90CFC" w:rsidP="009730B9">
      <w:pPr>
        <w:rPr>
          <w:rFonts w:ascii="Microsoft YaHei UI" w:eastAsia="Microsoft YaHei UI" w:hAnsi="Microsoft YaHei UI"/>
          <w:sz w:val="24"/>
          <w:lang w:eastAsia="zh-TW"/>
        </w:rPr>
      </w:pPr>
      <w:r w:rsidRPr="00A90CFC">
        <w:rPr>
          <w:rFonts w:ascii="Microsoft YaHei UI" w:eastAsia="Microsoft YaHei UI" w:hAnsi="Microsoft YaHei UI" w:hint="eastAsia"/>
          <w:b/>
          <w:bCs/>
          <w:sz w:val="24"/>
          <w:lang w:eastAsia="zh-TW"/>
        </w:rPr>
        <w:t>4.</w:t>
      </w:r>
      <w:r w:rsidRPr="00A90CFC">
        <w:rPr>
          <w:rFonts w:ascii="Microsoft YaHei UI" w:eastAsia="Microsoft YaHei UI" w:hAnsi="Microsoft YaHei UI" w:hint="eastAsia"/>
          <w:b/>
          <w:bCs/>
          <w:sz w:val="24"/>
          <w:lang w:eastAsia="zh-TW"/>
        </w:rPr>
        <w:tab/>
        <w:t>體裁：</w:t>
      </w:r>
      <w:r>
        <w:rPr>
          <w:rFonts w:ascii="Microsoft YaHei UI" w:eastAsia="Microsoft YaHei UI" w:hAnsi="Microsoft YaHei UI" w:hint="eastAsia"/>
          <w:sz w:val="24"/>
          <w:lang w:eastAsia="zh-TW"/>
        </w:rPr>
        <w:t>融合了書信體、預言體和啓示體（或</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）三種文體</w:t>
      </w:r>
    </w:p>
    <w:p w14:paraId="775E91BC" w14:textId="20F2493A"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1）書信體：啓示錄具有書信的若干</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：書信的開始有作者，收信人和問安（1:4-6），書信的結尾有祝福（22:21）。2-3章是針對七間教會所面臨的不同</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u w:val="thick"/>
          <w:lang w:eastAsia="zh-TW"/>
        </w:rPr>
        <w:t xml:space="preserve"> </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而寫的書信。</w:t>
      </w:r>
    </w:p>
    <w:p w14:paraId="4918A2C1" w14:textId="51289AEE"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“該書的書信體提醒我們，不應沈迷於我所謂的 ‘</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末世論’ 來解讀此書。該書是為佔據特定社會位置的讀者所寫，假設他們至少大致理解寫給他們的內容。這一事實的釋經意義極為重要，因為它排除了現代讀者比原始讀者更能理解《啓示錄》的流行觀念。那些提出此類解讀的人根據 </w:t>
      </w:r>
    </w:p>
    <w:p w14:paraId="4B6F90C7" w14:textId="1211FDC9" w:rsidR="00A90CFC" w:rsidRDefault="00A90CFC" w:rsidP="009730B9">
      <w:pPr>
        <w:rPr>
          <w:rFonts w:ascii="Microsoft YaHei UI" w:eastAsia="Microsoft YaHei UI" w:hAnsi="Microsoft YaHei UI"/>
          <w:sz w:val="24"/>
          <w:lang w:eastAsia="zh-TW"/>
        </w:rPr>
      </w:pP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來理解該書；所有反思這種釋經方法的人都會看到其隨意性，因為隨著事件的變化，解讀也在改變。從釋經角度看，將該書置於其歷史背景中，並根據</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讀者的處境和世界來解讀更為明智。”                            ---托馬斯·施賴納（Thomas Schreiner）</w:t>
      </w:r>
    </w:p>
    <w:p w14:paraId="0E83B72B" w14:textId="6E169CB9"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七個教會</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所有教會，因此啓示錄適用於</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上所有的教會。</w:t>
      </w:r>
    </w:p>
    <w:p w14:paraId="07111880" w14:textId="35E5AAE9"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2）預言體</w:t>
      </w:r>
    </w:p>
    <w:p w14:paraId="47777F74" w14:textId="4E615B4F"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啓示錄的開頭和結尾都告訴讀者這是一部預言（1:3；22:7，10，18，19）；這種包含結構表明</w:t>
      </w:r>
      <w:r>
        <w:rPr>
          <w:rFonts w:ascii="Microsoft YaHei UI" w:eastAsia="Microsoft YaHei UI" w:hAnsi="Microsoft YaHei UI" w:hint="eastAsia"/>
          <w:sz w:val="24"/>
          <w:lang w:eastAsia="zh-TW"/>
        </w:rPr>
        <w:lastRenderedPageBreak/>
        <w:t>預言的性質是理解《啓示錄》的關鍵。作為預言，啓示錄揭示了必要快成的事（22:6）；預言的一個</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就是：“日期近了”（1:3; 22:10）。預言的目的是為了讓人</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預言的話（1:3; 22:7）。</w:t>
      </w:r>
    </w:p>
    <w:p w14:paraId="6C322A4E" w14:textId="07140180" w:rsidR="00A90CFC" w:rsidRDefault="00C51319" w:rsidP="009730B9">
      <w:pPr>
        <w:rPr>
          <w:rFonts w:ascii="Microsoft YaHei UI" w:eastAsia="Microsoft YaHei UI" w:hAnsi="Microsoft YaHei UI"/>
          <w:sz w:val="24"/>
          <w:lang w:eastAsia="zh-TW"/>
        </w:rPr>
      </w:pPr>
      <w:r>
        <w:rPr>
          <w:rFonts w:ascii="Microsoft YaHei UI" w:eastAsia="Microsoft YaHei UI" w:hAnsi="Microsoft YaHei UI" w:hint="eastAsia"/>
          <w:sz w:val="24"/>
        </w:rPr>
        <w:t>3</w:t>
      </w:r>
      <w:r w:rsidR="00A90CFC">
        <w:rPr>
          <w:rFonts w:ascii="Microsoft YaHei UI" w:eastAsia="Microsoft YaHei UI" w:hAnsi="Microsoft YaHei UI" w:hint="eastAsia"/>
          <w:sz w:val="24"/>
          <w:lang w:eastAsia="zh-TW"/>
        </w:rPr>
        <w:t>）</w:t>
      </w:r>
      <w:r w:rsidR="00A90CFC">
        <w:rPr>
          <w:rFonts w:ascii="Microsoft YaHei UI" w:eastAsia="Microsoft YaHei UI" w:hAnsi="Microsoft YaHei UI" w:hint="eastAsia"/>
          <w:sz w:val="24"/>
          <w:lang w:eastAsia="zh-TW"/>
        </w:rPr>
        <w:tab/>
        <w:t>啓示體（</w:t>
      </w:r>
      <w:r w:rsidR="00A90CFC" w:rsidRPr="00A90CFC">
        <w:rPr>
          <w:rFonts w:ascii="Microsoft YaHei UI" w:eastAsia="Microsoft YaHei UI" w:hAnsi="Microsoft YaHei UI" w:hint="eastAsia"/>
          <w:sz w:val="24"/>
          <w:u w:val="thick"/>
          <w:lang w:eastAsia="zh-TW"/>
        </w:rPr>
        <w:t xml:space="preserve">        </w:t>
      </w:r>
      <w:r w:rsidR="00A90CFC">
        <w:rPr>
          <w:rFonts w:ascii="Microsoft YaHei UI" w:eastAsia="Microsoft YaHei UI" w:hAnsi="Microsoft YaHei UI" w:hint="eastAsia"/>
          <w:sz w:val="24"/>
          <w:lang w:eastAsia="zh-TW"/>
        </w:rPr>
        <w:t>）</w:t>
      </w:r>
    </w:p>
    <w:p w14:paraId="5D4B48D4" w14:textId="2C35E115"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1970年代，聖經文學學會的一個小組是這樣定義啓示文體的， “‘啓示文體’ 是一種以敘事為框架的啓示性文體，其內容由超自然存在者傳達給人類接受者，揭示一個超越的現實，這一現實既是時間性的（即展望</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），也是空間性的（即涉及另一個</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世界）。“</w:t>
      </w:r>
    </w:p>
    <w:p w14:paraId="2887238F" w14:textId="636BDCD8"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1986年，聖經文學學會又發佈新的定義：“啓示文學旨在借助超自然世界與未來的視角解釋當下的屬世處境，並以神的權威影響聽眾的理解與</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08D75B02" w14:textId="48CB19B1"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約翰為什麼使用啓示體？</w:t>
      </w:r>
    </w:p>
    <w:p w14:paraId="11CAC966" w14:textId="2B9D0401"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用引人注目的意象和描繪抓住了讀者的</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，挑戰他們用新的視角看待世界。</w:t>
      </w:r>
    </w:p>
    <w:p w14:paraId="01C7CF0D" w14:textId="695ED9F2"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“《啓示錄》不僅提供了另一種世界的願景，還揭示了世界的真實本質。因此，讀者看到羅馬帝國的真實面目（一頭</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），也看到羅馬的本質（一個</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）。約翰為讀者揭開一個奧秘：帝國背後是</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本身。”--德席爾瓦（</w:t>
      </w:r>
      <w:proofErr w:type="spellStart"/>
      <w:r>
        <w:rPr>
          <w:rFonts w:ascii="Microsoft YaHei UI" w:eastAsia="Microsoft YaHei UI" w:hAnsi="Microsoft YaHei UI" w:hint="eastAsia"/>
          <w:sz w:val="24"/>
          <w:lang w:eastAsia="zh-TW"/>
        </w:rPr>
        <w:t>deSilva</w:t>
      </w:r>
      <w:proofErr w:type="spellEnd"/>
      <w:r>
        <w:rPr>
          <w:rFonts w:ascii="Microsoft YaHei UI" w:eastAsia="Microsoft YaHei UI" w:hAnsi="Microsoft YaHei UI" w:hint="eastAsia"/>
          <w:sz w:val="24"/>
          <w:lang w:eastAsia="zh-TW"/>
        </w:rPr>
        <w:t>）</w:t>
      </w:r>
    </w:p>
    <w:p w14:paraId="7274F6D3" w14:textId="0C2DEBED"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“因此，最恰當的說法是：《啓示錄》是 ‘以啓示體為形式、具有預言性質、並寫成書信形式’ 的作品，目的在於喚起讀者，在面對超越現實的屬天真理時</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6DDC2867" w14:textId="3206DFF2" w:rsidR="00A90CFC" w:rsidRDefault="00A90CFC" w:rsidP="00A90CFC">
      <w:pPr>
        <w:ind w:firstLineChars="2600" w:firstLine="624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G.K.·比爾（Beale, G.K.）</w:t>
      </w:r>
    </w:p>
    <w:p w14:paraId="7DD68622" w14:textId="29E4B386" w:rsidR="00A90CFC" w:rsidRPr="00A90CFC" w:rsidRDefault="00A90CFC" w:rsidP="009730B9">
      <w:pPr>
        <w:rPr>
          <w:rFonts w:ascii="Microsoft YaHei UI" w:eastAsia="Microsoft YaHei UI" w:hAnsi="Microsoft YaHei UI"/>
          <w:b/>
          <w:bCs/>
          <w:sz w:val="24"/>
          <w:lang w:eastAsia="zh-TW"/>
        </w:rPr>
      </w:pPr>
      <w:r w:rsidRPr="00A90CFC">
        <w:rPr>
          <w:rFonts w:ascii="Microsoft YaHei UI" w:eastAsia="Microsoft YaHei UI" w:hAnsi="Microsoft YaHei UI" w:hint="eastAsia"/>
          <w:b/>
          <w:bCs/>
          <w:sz w:val="24"/>
          <w:lang w:eastAsia="zh-TW"/>
        </w:rPr>
        <w:t>5.</w:t>
      </w:r>
      <w:r w:rsidRPr="00A90CFC">
        <w:rPr>
          <w:rFonts w:ascii="Microsoft YaHei UI" w:eastAsia="Microsoft YaHei UI" w:hAnsi="Microsoft YaHei UI" w:hint="eastAsia"/>
          <w:b/>
          <w:bCs/>
          <w:sz w:val="24"/>
          <w:lang w:eastAsia="zh-TW"/>
        </w:rPr>
        <w:tab/>
        <w:t>解釋啓示錄的四種方法</w:t>
      </w:r>
    </w:p>
    <w:p w14:paraId="21231803" w14:textId="5A5CE2C3"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1）過去派（預言已實現派）（Preterist View）</w:t>
      </w:r>
    </w:p>
    <w:p w14:paraId="5BA68399" w14:textId="1E1367CA"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過去派認為啓示的信息是針對第一世紀亞細亞的七間教會（啓1:4），並且所有的預言在過去已經</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了。</w:t>
      </w:r>
    </w:p>
    <w:p w14:paraId="26B52001" w14:textId="0D999D0F"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過去派認為啓示錄預言的與主後70年耶路撒冷的毀滅是就</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了；“大巴比倫” 象徵叛教的以色列，他們協助羅馬逼迫基督徒。啓示錄的部分目的，是鼓勵基督徒確信他們的猶太逼迫者將因背道而受到審判，同時向讀者保證他們才是真正的以色列。</w:t>
      </w:r>
    </w:p>
    <w:p w14:paraId="61F85A4B" w14:textId="0FACD41A"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過去派的問題是將啓示錄中關於末世審判的預言僅限於對以色列的審判，而非對</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的審判；但啓示錄反復引用但以理書第2章和第7章的預言卻是對</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的末世審判。</w:t>
      </w:r>
    </w:p>
    <w:p w14:paraId="7CCC7B12" w14:textId="4B9A66D6"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2）歷史派（Historicist）</w:t>
      </w:r>
    </w:p>
    <w:p w14:paraId="19AD917E" w14:textId="32B34BFE"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歷史派認為《啓示錄》是對歷史的預言或圖表，七教會或七印被看作教會歷史的時間表。該觀點的優點在於看到本書對現代讀者的意義；問題是過度具體地</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歷史事件，並將預言局限於西方教會史，卻忽略了普世教會。</w:t>
      </w:r>
    </w:p>
    <w:p w14:paraId="29FE96E9" w14:textId="26F04136"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3）未來派（Futurist）</w:t>
      </w:r>
    </w:p>
    <w:p w14:paraId="7D654417" w14:textId="30F21494"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未來派將《啓示錄》視為對未來事件的預言，認為啓示錄第4章至22:5的異象專指末日之前的一段將來的時期。約翰的確期待神的應許得以實現，並以耶穌再來終結歷史。然而，未來的問題是沒有清楚解釋此書對</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的意義。一些未來派容易落入 “</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末世論”，隨時事更替而解讀啓示錄。</w:t>
      </w:r>
    </w:p>
    <w:p w14:paraId="381D0043" w14:textId="4B9FED9F"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4）</w:t>
      </w:r>
      <w:r>
        <w:rPr>
          <w:rFonts w:ascii="Microsoft YaHei UI" w:eastAsia="Microsoft YaHei UI" w:hAnsi="Microsoft YaHei UI" w:hint="eastAsia"/>
          <w:sz w:val="24"/>
          <w:lang w:eastAsia="zh-TW"/>
        </w:rPr>
        <w:tab/>
        <w:t>理想派（Idealist）</w:t>
      </w:r>
    </w:p>
    <w:p w14:paraId="2CCEC937" w14:textId="140A1A0D"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理想派認為《啓示錄》表達的是</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的屬靈原則，而非具體歷史事件。其優勢在於適用於歷代信徒，但也可能脫離本書的</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，將具體經文的歷史意義抽象化。</w:t>
      </w:r>
    </w:p>
    <w:p w14:paraId="338CE9CE" w14:textId="3FF24433"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以上四種方法各有可取之處，因此解釋啓示錄最好的方法是</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這四種方法，兼顧歷史背景、將來的應驗和持續的真理。</w:t>
      </w:r>
    </w:p>
    <w:p w14:paraId="49D72FE1" w14:textId="5F54B309" w:rsidR="00A90CFC" w:rsidRPr="00A90CFC" w:rsidRDefault="00A90CFC" w:rsidP="009730B9">
      <w:pPr>
        <w:rPr>
          <w:rFonts w:ascii="Microsoft YaHei UI" w:eastAsia="Microsoft YaHei UI" w:hAnsi="Microsoft YaHei UI"/>
          <w:b/>
          <w:bCs/>
          <w:sz w:val="24"/>
          <w:lang w:eastAsia="zh-TW"/>
        </w:rPr>
      </w:pPr>
      <w:r w:rsidRPr="00A90CFC">
        <w:rPr>
          <w:rFonts w:ascii="Microsoft YaHei UI" w:eastAsia="Microsoft YaHei UI" w:hAnsi="Microsoft YaHei UI" w:hint="eastAsia"/>
          <w:b/>
          <w:bCs/>
          <w:sz w:val="24"/>
          <w:lang w:eastAsia="zh-TW"/>
        </w:rPr>
        <w:t>6. 全書大綱</w:t>
      </w:r>
    </w:p>
    <w:p w14:paraId="7E4CDDF9" w14:textId="65EC899F"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1）引言（1:1-20）</w:t>
      </w:r>
    </w:p>
    <w:p w14:paraId="4D4852D5" w14:textId="6A9EA266"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2）寫給七個教會的書信（2:1–3:22）</w:t>
      </w:r>
    </w:p>
    <w:p w14:paraId="55413BDA" w14:textId="42A1FB9A"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3）天上的</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（4:1–5:14）</w:t>
      </w:r>
    </w:p>
    <w:p w14:paraId="79A693E5" w14:textId="0684AC42"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4）七印之災和第一個</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（6:1–8:5）</w:t>
      </w:r>
    </w:p>
    <w:p w14:paraId="33FAC2C2" w14:textId="360E669E"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5）七號之災和第二個</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（8:6–11:19）</w:t>
      </w:r>
    </w:p>
    <w:p w14:paraId="0D35570A" w14:textId="5258C3FE"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6）天上與地上的</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（12:1–14:20）</w:t>
      </w:r>
    </w:p>
    <w:p w14:paraId="397B359F" w14:textId="46C4D6C6"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7）七碗之災（15:1-16:21）</w:t>
      </w:r>
    </w:p>
    <w:p w14:paraId="560A0C8E" w14:textId="5A909420"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8）</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被審判，</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被迎娶（17:1–19:10）</w:t>
      </w:r>
    </w:p>
    <w:p w14:paraId="588AD553" w14:textId="6126C42A"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9）基督再來, 千禧年和</w:t>
      </w:r>
      <w:r w:rsidRPr="00A90CFC">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（19:11-20:15）</w:t>
      </w:r>
    </w:p>
    <w:p w14:paraId="6F5B4F90" w14:textId="1D0846B1"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10）新天新地（21:1–22:5）</w:t>
      </w:r>
    </w:p>
    <w:p w14:paraId="70969AB7" w14:textId="5CBA4EF2"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11）結語（22:6–21）</w:t>
      </w:r>
    </w:p>
    <w:p w14:paraId="55E11A1B" w14:textId="37B36C54" w:rsidR="00A90CFC" w:rsidRPr="00A90CFC" w:rsidRDefault="00A90CFC" w:rsidP="009730B9">
      <w:pPr>
        <w:rPr>
          <w:rFonts w:ascii="Microsoft YaHei UI" w:eastAsia="Microsoft YaHei UI" w:hAnsi="Microsoft YaHei UI"/>
          <w:b/>
          <w:bCs/>
          <w:sz w:val="24"/>
          <w:lang w:eastAsia="zh-TW"/>
        </w:rPr>
      </w:pPr>
      <w:r w:rsidRPr="00A90CFC">
        <w:rPr>
          <w:rFonts w:ascii="Microsoft YaHei UI" w:eastAsia="Microsoft YaHei UI" w:hAnsi="Microsoft YaHei UI" w:hint="eastAsia"/>
          <w:b/>
          <w:bCs/>
          <w:sz w:val="24"/>
          <w:lang w:eastAsia="zh-TW"/>
        </w:rPr>
        <w:t>7. 學習計劃和講道單元</w:t>
      </w:r>
    </w:p>
    <w:p w14:paraId="001E1609" w14:textId="1D4019E2"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6/06-07/25      啓示錄簡介</w:t>
      </w:r>
    </w:p>
    <w:p w14:paraId="581C9C23" w14:textId="5C9ED975"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6/13-14/25      第1課：啓1:1–8</w:t>
      </w:r>
    </w:p>
    <w:p w14:paraId="60491DDC" w14:textId="700B6AF1"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6/20-21/25      第2課：啓1:9–20</w:t>
      </w:r>
    </w:p>
    <w:p w14:paraId="42A71F5D" w14:textId="206B0536"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6/27-28/25      第3課：啓2:1-11</w:t>
      </w:r>
    </w:p>
    <w:p w14:paraId="3A106F89" w14:textId="2393BFED"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7/04-05/25      第4課：啓2:12-29</w:t>
      </w:r>
    </w:p>
    <w:p w14:paraId="2910FCDA" w14:textId="0BC0F145"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7/11-12/25      第5課：啓3:1-13</w:t>
      </w:r>
    </w:p>
    <w:p w14:paraId="5816304C" w14:textId="6647C2CD"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7/18-19/25      因去外地服事暫停一次</w:t>
      </w:r>
    </w:p>
    <w:p w14:paraId="7B5A8601" w14:textId="5AD3C0A2"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7/25-26/25      第6課：啓3:14-22</w:t>
      </w:r>
    </w:p>
    <w:p w14:paraId="621D58AD" w14:textId="1ADFBE64"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8/01-02/25      第7課：啓4:1-11</w:t>
      </w:r>
    </w:p>
    <w:p w14:paraId="1B7F8D80" w14:textId="0764343B"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8/08-09/25      第8課：啓5:1-14</w:t>
      </w:r>
    </w:p>
    <w:p w14:paraId="388FB251" w14:textId="7BB8A6D0"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8/15-16/25      第9課：啓6:1-17</w:t>
      </w:r>
    </w:p>
    <w:p w14:paraId="576299EB" w14:textId="7CB7BEC9"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8/22-23/25      第10課：啓7:1-17</w:t>
      </w:r>
    </w:p>
    <w:p w14:paraId="323D9769" w14:textId="7FE66D29"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8/29-30/25      第11課：啓8:1-13</w:t>
      </w:r>
    </w:p>
    <w:p w14:paraId="232A3663" w14:textId="2575360E"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9/05-06/25      第12課：啓9:1-21 </w:t>
      </w:r>
    </w:p>
    <w:p w14:paraId="5EE09A46" w14:textId="698B6058"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9/12-13/25      第13課：啓10:1-11</w:t>
      </w:r>
    </w:p>
    <w:p w14:paraId="397B6B60" w14:textId="4ED31066"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9/19-20/25      第14課：啓11:1-19</w:t>
      </w:r>
    </w:p>
    <w:p w14:paraId="4A0BF511" w14:textId="47C56F8E"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9/26-27/25      第15課：啓12:1-17</w:t>
      </w:r>
    </w:p>
    <w:p w14:paraId="78378A8C" w14:textId="05CB15DF"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10/03-04/25     第16課：啓 13:1-18</w:t>
      </w:r>
    </w:p>
    <w:p w14:paraId="7B4E58CD" w14:textId="07B1A357"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10/10-11/25     第17課：啓14:1-20</w:t>
      </w:r>
    </w:p>
    <w:p w14:paraId="14E83D0B" w14:textId="2C7A7CC7"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10/17-18/25     第18課：啓15-16</w:t>
      </w:r>
    </w:p>
    <w:p w14:paraId="2CB7E330" w14:textId="259380A1"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10/24-25/25     第19課：啓17:1-18</w:t>
      </w:r>
    </w:p>
    <w:p w14:paraId="59C02806" w14:textId="3BCC5A87"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10/31-11/1/25   第20課：啓18:1-24</w:t>
      </w:r>
    </w:p>
    <w:p w14:paraId="550FF4CB" w14:textId="602EEDC8"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11/07-08/25     第21課：啓19:1-21</w:t>
      </w:r>
    </w:p>
    <w:p w14:paraId="516EDB86" w14:textId="24E886E3"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11/14-15/25     第22課：啓20:1-10</w:t>
      </w:r>
    </w:p>
    <w:p w14:paraId="0CA6FFA3" w14:textId="7DA9C08A"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11/21-22/25     因去外地服事暫停一次</w:t>
      </w:r>
    </w:p>
    <w:p w14:paraId="341A8071" w14:textId="77BE2D9D"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11/28-29/25     感恩節暫停一次</w:t>
      </w:r>
    </w:p>
    <w:p w14:paraId="60098BB0" w14:textId="6940BE3E"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12/05-06/25     第23課：啓20:11-21:8</w:t>
      </w:r>
    </w:p>
    <w:p w14:paraId="739DBE23" w14:textId="05942E4B"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12/12-13/25     </w:t>
      </w:r>
      <w:r>
        <w:rPr>
          <w:rFonts w:ascii="Microsoft YaHei UI" w:eastAsia="Microsoft YaHei UI" w:hAnsi="Microsoft YaHei UI" w:hint="eastAsia"/>
          <w:sz w:val="24"/>
        </w:rPr>
        <w:t>第</w:t>
      </w:r>
      <w:r>
        <w:rPr>
          <w:rFonts w:ascii="Microsoft YaHei UI" w:eastAsia="Microsoft YaHei UI" w:hAnsi="Microsoft YaHei UI" w:hint="eastAsia"/>
          <w:sz w:val="24"/>
          <w:lang w:eastAsia="zh-TW"/>
        </w:rPr>
        <w:t>24</w:t>
      </w:r>
      <w:r>
        <w:rPr>
          <w:rFonts w:ascii="Microsoft YaHei UI" w:eastAsia="Microsoft YaHei UI" w:hAnsi="Microsoft YaHei UI" w:hint="eastAsia"/>
          <w:sz w:val="24"/>
        </w:rPr>
        <w:t>課：啓</w:t>
      </w:r>
      <w:r>
        <w:rPr>
          <w:rFonts w:ascii="Microsoft YaHei UI" w:eastAsia="Microsoft YaHei UI" w:hAnsi="Microsoft YaHei UI" w:hint="eastAsia"/>
          <w:sz w:val="24"/>
          <w:lang w:eastAsia="zh-TW"/>
        </w:rPr>
        <w:t>21:9-22:5</w:t>
      </w:r>
    </w:p>
    <w:p w14:paraId="19671D47" w14:textId="23DAF8D9" w:rsidR="00A90CFC" w:rsidRDefault="00A90CFC" w:rsidP="009730B9">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12/19-20/25     </w:t>
      </w:r>
      <w:r>
        <w:rPr>
          <w:rFonts w:ascii="Microsoft YaHei UI" w:eastAsia="Microsoft YaHei UI" w:hAnsi="Microsoft YaHei UI" w:hint="eastAsia"/>
          <w:sz w:val="24"/>
        </w:rPr>
        <w:t>第</w:t>
      </w:r>
      <w:r>
        <w:rPr>
          <w:rFonts w:ascii="Microsoft YaHei UI" w:eastAsia="Microsoft YaHei UI" w:hAnsi="Microsoft YaHei UI" w:hint="eastAsia"/>
          <w:sz w:val="24"/>
          <w:lang w:eastAsia="zh-TW"/>
        </w:rPr>
        <w:t>25</w:t>
      </w:r>
      <w:r>
        <w:rPr>
          <w:rFonts w:ascii="Microsoft YaHei UI" w:eastAsia="Microsoft YaHei UI" w:hAnsi="Microsoft YaHei UI" w:hint="eastAsia"/>
          <w:sz w:val="24"/>
        </w:rPr>
        <w:t>課：啓</w:t>
      </w:r>
      <w:r>
        <w:rPr>
          <w:rFonts w:ascii="Microsoft YaHei UI" w:eastAsia="Microsoft YaHei UI" w:hAnsi="Microsoft YaHei UI" w:hint="eastAsia"/>
          <w:sz w:val="24"/>
          <w:lang w:eastAsia="zh-TW"/>
        </w:rPr>
        <w:t>22:6-21</w:t>
      </w:r>
    </w:p>
    <w:p w14:paraId="0AF44031" w14:textId="77777777" w:rsidR="00A90CFC" w:rsidRPr="009730B9" w:rsidRDefault="00A90CFC" w:rsidP="009730B9">
      <w:pPr>
        <w:rPr>
          <w:rFonts w:ascii="Microsoft YaHei UI" w:eastAsia="Microsoft YaHei UI" w:hAnsi="Microsoft YaHei UI"/>
          <w:sz w:val="24"/>
        </w:rPr>
      </w:pPr>
    </w:p>
    <w:sectPr w:rsidR="00A90CFC" w:rsidRPr="009730B9" w:rsidSect="009730B9">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70D1" w14:textId="77777777" w:rsidR="00FA67C2" w:rsidRDefault="00FA67C2" w:rsidP="009730B9">
      <w:pPr>
        <w:spacing w:after="0" w:line="240" w:lineRule="auto"/>
      </w:pPr>
      <w:r>
        <w:separator/>
      </w:r>
    </w:p>
  </w:endnote>
  <w:endnote w:type="continuationSeparator" w:id="0">
    <w:p w14:paraId="296D0312" w14:textId="77777777" w:rsidR="00FA67C2" w:rsidRDefault="00FA67C2" w:rsidP="0097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7151260"/>
      <w:docPartObj>
        <w:docPartGallery w:val="Page Numbers (Bottom of Page)"/>
        <w:docPartUnique/>
      </w:docPartObj>
    </w:sdtPr>
    <w:sdtContent>
      <w:p w14:paraId="3F423FA3" w14:textId="13C9F6D9" w:rsidR="009730B9" w:rsidRDefault="009730B9" w:rsidP="00C858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BB52D" w14:textId="77777777" w:rsidR="009730B9" w:rsidRDefault="009730B9" w:rsidP="009730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1943147"/>
      <w:docPartObj>
        <w:docPartGallery w:val="Page Numbers (Bottom of Page)"/>
        <w:docPartUnique/>
      </w:docPartObj>
    </w:sdtPr>
    <w:sdtContent>
      <w:p w14:paraId="63442357" w14:textId="762E9285" w:rsidR="009730B9" w:rsidRDefault="009730B9" w:rsidP="00C858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B6F2DFE" w14:textId="77777777" w:rsidR="009730B9" w:rsidRDefault="009730B9" w:rsidP="00973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4073" w14:textId="77777777" w:rsidR="00FA67C2" w:rsidRDefault="00FA67C2" w:rsidP="009730B9">
      <w:pPr>
        <w:spacing w:after="0" w:line="240" w:lineRule="auto"/>
      </w:pPr>
      <w:r>
        <w:separator/>
      </w:r>
    </w:p>
  </w:footnote>
  <w:footnote w:type="continuationSeparator" w:id="0">
    <w:p w14:paraId="18A6BA41" w14:textId="77777777" w:rsidR="00FA67C2" w:rsidRDefault="00FA67C2" w:rsidP="009730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B9"/>
    <w:rsid w:val="000E6CF8"/>
    <w:rsid w:val="001737B9"/>
    <w:rsid w:val="0020086D"/>
    <w:rsid w:val="002145AD"/>
    <w:rsid w:val="002A501E"/>
    <w:rsid w:val="004507B2"/>
    <w:rsid w:val="004701A9"/>
    <w:rsid w:val="004A3763"/>
    <w:rsid w:val="00563138"/>
    <w:rsid w:val="00567830"/>
    <w:rsid w:val="00573C06"/>
    <w:rsid w:val="005C16B7"/>
    <w:rsid w:val="006B0B4D"/>
    <w:rsid w:val="007E5023"/>
    <w:rsid w:val="00855266"/>
    <w:rsid w:val="008F356B"/>
    <w:rsid w:val="0090153D"/>
    <w:rsid w:val="00946A68"/>
    <w:rsid w:val="009730B9"/>
    <w:rsid w:val="009B6811"/>
    <w:rsid w:val="00A35A5B"/>
    <w:rsid w:val="00A90CFC"/>
    <w:rsid w:val="00AC642F"/>
    <w:rsid w:val="00C10147"/>
    <w:rsid w:val="00C51319"/>
    <w:rsid w:val="00D4324C"/>
    <w:rsid w:val="00D92D09"/>
    <w:rsid w:val="00ED6A82"/>
    <w:rsid w:val="00F968E6"/>
    <w:rsid w:val="00FA67C2"/>
    <w:rsid w:val="00FB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F57C"/>
  <w15:chartTrackingRefBased/>
  <w15:docId w15:val="{6CC3BC90-A9E9-174A-9EDF-04BD932D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730B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730B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730B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730B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730B9"/>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730B9"/>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730B9"/>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730B9"/>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730B9"/>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0B9"/>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730B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730B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730B9"/>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730B9"/>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730B9"/>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730B9"/>
    <w:rPr>
      <w:rFonts w:cstheme="majorBidi"/>
      <w:b/>
      <w:bCs/>
      <w:color w:val="595959" w:themeColor="text1" w:themeTint="A6"/>
    </w:rPr>
  </w:style>
  <w:style w:type="character" w:customStyle="1" w:styleId="Heading8Char">
    <w:name w:val="Heading 8 Char"/>
    <w:basedOn w:val="DefaultParagraphFont"/>
    <w:link w:val="Heading8"/>
    <w:uiPriority w:val="9"/>
    <w:semiHidden/>
    <w:rsid w:val="009730B9"/>
    <w:rPr>
      <w:rFonts w:cstheme="majorBidi"/>
      <w:color w:val="595959" w:themeColor="text1" w:themeTint="A6"/>
    </w:rPr>
  </w:style>
  <w:style w:type="character" w:customStyle="1" w:styleId="Heading9Char">
    <w:name w:val="Heading 9 Char"/>
    <w:basedOn w:val="DefaultParagraphFont"/>
    <w:link w:val="Heading9"/>
    <w:uiPriority w:val="9"/>
    <w:semiHidden/>
    <w:rsid w:val="009730B9"/>
    <w:rPr>
      <w:rFonts w:eastAsiaTheme="majorEastAsia" w:cstheme="majorBidi"/>
      <w:color w:val="595959" w:themeColor="text1" w:themeTint="A6"/>
    </w:rPr>
  </w:style>
  <w:style w:type="paragraph" w:styleId="Title">
    <w:name w:val="Title"/>
    <w:basedOn w:val="Normal"/>
    <w:next w:val="Normal"/>
    <w:link w:val="TitleChar"/>
    <w:uiPriority w:val="10"/>
    <w:qFormat/>
    <w:rsid w:val="00973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0B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730B9"/>
    <w:pPr>
      <w:spacing w:before="160"/>
      <w:jc w:val="center"/>
    </w:pPr>
    <w:rPr>
      <w:i/>
      <w:iCs/>
      <w:color w:val="404040" w:themeColor="text1" w:themeTint="BF"/>
    </w:rPr>
  </w:style>
  <w:style w:type="character" w:customStyle="1" w:styleId="QuoteChar">
    <w:name w:val="Quote Char"/>
    <w:basedOn w:val="DefaultParagraphFont"/>
    <w:link w:val="Quote"/>
    <w:uiPriority w:val="29"/>
    <w:rsid w:val="009730B9"/>
    <w:rPr>
      <w:i/>
      <w:iCs/>
      <w:color w:val="404040" w:themeColor="text1" w:themeTint="BF"/>
    </w:rPr>
  </w:style>
  <w:style w:type="paragraph" w:styleId="ListParagraph">
    <w:name w:val="List Paragraph"/>
    <w:basedOn w:val="Normal"/>
    <w:uiPriority w:val="34"/>
    <w:qFormat/>
    <w:rsid w:val="009730B9"/>
    <w:pPr>
      <w:ind w:left="720"/>
      <w:contextualSpacing/>
    </w:pPr>
  </w:style>
  <w:style w:type="character" w:styleId="IntenseEmphasis">
    <w:name w:val="Intense Emphasis"/>
    <w:basedOn w:val="DefaultParagraphFont"/>
    <w:uiPriority w:val="21"/>
    <w:qFormat/>
    <w:rsid w:val="009730B9"/>
    <w:rPr>
      <w:i/>
      <w:iCs/>
      <w:color w:val="0F4761" w:themeColor="accent1" w:themeShade="BF"/>
    </w:rPr>
  </w:style>
  <w:style w:type="paragraph" w:styleId="IntenseQuote">
    <w:name w:val="Intense Quote"/>
    <w:basedOn w:val="Normal"/>
    <w:next w:val="Normal"/>
    <w:link w:val="IntenseQuoteChar"/>
    <w:uiPriority w:val="30"/>
    <w:qFormat/>
    <w:rsid w:val="00973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0B9"/>
    <w:rPr>
      <w:i/>
      <w:iCs/>
      <w:color w:val="0F4761" w:themeColor="accent1" w:themeShade="BF"/>
    </w:rPr>
  </w:style>
  <w:style w:type="character" w:styleId="IntenseReference">
    <w:name w:val="Intense Reference"/>
    <w:basedOn w:val="DefaultParagraphFont"/>
    <w:uiPriority w:val="32"/>
    <w:qFormat/>
    <w:rsid w:val="009730B9"/>
    <w:rPr>
      <w:b/>
      <w:bCs/>
      <w:smallCaps/>
      <w:color w:val="0F4761" w:themeColor="accent1" w:themeShade="BF"/>
      <w:spacing w:val="5"/>
    </w:rPr>
  </w:style>
  <w:style w:type="paragraph" w:styleId="Footer">
    <w:name w:val="footer"/>
    <w:basedOn w:val="Normal"/>
    <w:link w:val="FooterChar"/>
    <w:uiPriority w:val="99"/>
    <w:unhideWhenUsed/>
    <w:rsid w:val="009730B9"/>
    <w:pPr>
      <w:tabs>
        <w:tab w:val="center" w:pos="4680"/>
        <w:tab w:val="right" w:pos="9360"/>
      </w:tabs>
      <w:snapToGrid w:val="0"/>
      <w:spacing w:line="240" w:lineRule="auto"/>
    </w:pPr>
    <w:rPr>
      <w:sz w:val="18"/>
      <w:szCs w:val="18"/>
    </w:rPr>
  </w:style>
  <w:style w:type="character" w:customStyle="1" w:styleId="FooterChar">
    <w:name w:val="Footer Char"/>
    <w:basedOn w:val="DefaultParagraphFont"/>
    <w:link w:val="Footer"/>
    <w:uiPriority w:val="99"/>
    <w:rsid w:val="009730B9"/>
    <w:rPr>
      <w:sz w:val="18"/>
      <w:szCs w:val="18"/>
    </w:rPr>
  </w:style>
  <w:style w:type="character" w:styleId="PageNumber">
    <w:name w:val="page number"/>
    <w:basedOn w:val="DefaultParagraphFont"/>
    <w:uiPriority w:val="99"/>
    <w:semiHidden/>
    <w:unhideWhenUsed/>
    <w:rsid w:val="00973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38</cp:revision>
  <dcterms:created xsi:type="dcterms:W3CDTF">2025-06-06T06:16:00Z</dcterms:created>
  <dcterms:modified xsi:type="dcterms:W3CDTF">2025-06-06T17:13:00Z</dcterms:modified>
</cp:coreProperties>
</file>